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10094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59"/>
        <w:gridCol w:w="4597"/>
        <w:gridCol w:w="2838"/>
      </w:tblGrid>
      <w:tr>
        <w:trPr>
          <w:trHeight w:val="355" w:hRule="atLeast"/>
        </w:trPr>
        <w:tc>
          <w:tcPr>
            <w:tcW w:w="26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Date of meeting</w:t>
            </w:r>
          </w:p>
        </w:tc>
        <w:tc>
          <w:tcPr>
            <w:tcW w:w="743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20 July 2026</w:t>
            </w:r>
          </w:p>
        </w:tc>
      </w:tr>
      <w:tr>
        <w:trPr>
          <w:trHeight w:val="432" w:hRule="atLeast"/>
        </w:trPr>
        <w:tc>
          <w:tcPr>
            <w:tcW w:w="26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Location:</w:t>
            </w:r>
          </w:p>
        </w:tc>
        <w:tc>
          <w:tcPr>
            <w:tcW w:w="743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Online</w:t>
            </w:r>
          </w:p>
        </w:tc>
      </w:tr>
      <w:tr>
        <w:trPr>
          <w:trHeight w:val="395" w:hRule="atLeast"/>
        </w:trPr>
        <w:tc>
          <w:tcPr>
            <w:tcW w:w="26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Time:</w:t>
            </w:r>
          </w:p>
        </w:tc>
        <w:tc>
          <w:tcPr>
            <w:tcW w:w="743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18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:40</w:t>
            </w:r>
          </w:p>
        </w:tc>
      </w:tr>
      <w:tr>
        <w:trPr>
          <w:trHeight w:val="309" w:hRule="atLeast"/>
        </w:trPr>
        <w:tc>
          <w:tcPr>
            <w:tcW w:w="2659" w:type="dxa"/>
            <w:vMerge w:val="restart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Attendees:</w:t>
            </w:r>
          </w:p>
        </w:tc>
        <w:tc>
          <w:tcPr>
            <w:tcW w:w="45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AACT Committee</w:t>
            </w:r>
          </w:p>
        </w:tc>
        <w:tc>
          <w:tcPr>
            <w:tcW w:w="28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</w:r>
          </w:p>
        </w:tc>
      </w:tr>
      <w:tr>
        <w:trPr>
          <w:trHeight w:val="1087" w:hRule="atLeast"/>
        </w:trPr>
        <w:tc>
          <w:tcPr>
            <w:tcW w:w="265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459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President –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Vice President –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Secretary –  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Derek Bazen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Treasurer – Mel Mongan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Recorder –  Joseph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Neville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Youth Coordinator – Bek Brown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Coaching Coordinator –  Mel Mongan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Judges Coordinator –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Webmaster –  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Adaptive Coordinator – </w:t>
              <w:br/>
            </w:r>
          </w:p>
        </w:tc>
        <w:tc>
          <w:tcPr>
            <w:tcW w:w="28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</w:r>
          </w:p>
        </w:tc>
      </w:tr>
      <w:tr>
        <w:trPr>
          <w:trHeight w:val="385" w:hRule="atLeast"/>
        </w:trPr>
        <w:tc>
          <w:tcPr>
            <w:tcW w:w="2659" w:type="dxa"/>
            <w:tcBorders>
              <w:bottom w:val="single" w:sz="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Apologies:</w:t>
            </w:r>
          </w:p>
        </w:tc>
        <w:tc>
          <w:tcPr>
            <w:tcW w:w="7435" w:type="dxa"/>
            <w:gridSpan w:val="2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</w:r>
          </w:p>
        </w:tc>
      </w:tr>
      <w:tr>
        <w:trPr>
          <w:trHeight w:val="277" w:hRule="atLeast"/>
        </w:trPr>
        <w:tc>
          <w:tcPr>
            <w:tcW w:w="2659" w:type="dxa"/>
            <w:tcBorders>
              <w:bottom w:val="single" w:sz="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Absences:</w:t>
            </w:r>
          </w:p>
        </w:tc>
        <w:tc>
          <w:tcPr>
            <w:tcW w:w="7435" w:type="dxa"/>
            <w:gridSpan w:val="2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Alex Smith; Xayah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Winters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; Jacob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Everingham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;</w:t>
            </w:r>
          </w:p>
        </w:tc>
      </w:tr>
      <w:tr>
        <w:trPr>
          <w:trHeight w:val="483" w:hRule="atLeast"/>
        </w:trPr>
        <w:tc>
          <w:tcPr>
            <w:tcW w:w="2659" w:type="dxa"/>
            <w:tcBorders>
              <w:bottom w:val="single" w:sz="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Guests</w:t>
            </w:r>
          </w:p>
        </w:tc>
        <w:tc>
          <w:tcPr>
            <w:tcW w:w="7435" w:type="dxa"/>
            <w:gridSpan w:val="2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N/A</w:t>
            </w:r>
          </w:p>
        </w:tc>
      </w:tr>
      <w:tr>
        <w:trPr>
          <w:trHeight w:val="404" w:hRule="atLeast"/>
        </w:trPr>
        <w:tc>
          <w:tcPr>
            <w:tcW w:w="2659" w:type="dxa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Conflicts of Interest:</w:t>
            </w:r>
          </w:p>
        </w:tc>
        <w:tc>
          <w:tcPr>
            <w:tcW w:w="7435" w:type="dxa"/>
            <w:gridSpan w:val="2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Conflicts associated with club funding (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arising due to Committee members also being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club memberships). Joseph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noted that hi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s partner has applied for National Indoor team selection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in relation to ACT National Indoor team item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.</w:t>
            </w:r>
          </w:p>
        </w:tc>
      </w:tr>
      <w:tr>
        <w:trPr>
          <w:trHeight w:val="403" w:hRule="atLeast"/>
        </w:trPr>
        <w:tc>
          <w:tcPr>
            <w:tcW w:w="10094" w:type="dxa"/>
            <w:gridSpan w:val="3"/>
            <w:tcBorders>
              <w:bottom w:val="single" w:sz="2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b/>
                <w:sz w:val="28"/>
                <w:szCs w:val="28"/>
              </w:rPr>
            </w:pPr>
            <w:r>
              <w:rPr>
                <w:rFonts w:eastAsia="Calibri" w:cs="Arial"/>
                <w:b/>
                <w:kern w:val="0"/>
                <w:sz w:val="28"/>
                <w:szCs w:val="28"/>
                <w:lang w:val="en-AU" w:eastAsia="en-US" w:bidi="ar-SA"/>
              </w:rPr>
              <w:t>Previous meetings minutes</w:t>
            </w:r>
          </w:p>
        </w:tc>
      </w:tr>
      <w:tr>
        <w:trPr>
          <w:trHeight w:val="680" w:hRule="atLeast"/>
        </w:trPr>
        <w:tc>
          <w:tcPr>
            <w:tcW w:w="2659" w:type="dxa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Business arising from previous minutes:</w:t>
            </w:r>
          </w:p>
        </w:tc>
        <w:tc>
          <w:tcPr>
            <w:tcW w:w="7435" w:type="dxa"/>
            <w:gridSpan w:val="2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See Appendix A</w:t>
            </w:r>
          </w:p>
        </w:tc>
      </w:tr>
      <w:tr>
        <w:trPr>
          <w:trHeight w:val="668" w:hRule="atLeast"/>
        </w:trPr>
        <w:tc>
          <w:tcPr>
            <w:tcW w:w="2659" w:type="dxa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Acceptance details</w:t>
            </w:r>
          </w:p>
        </w:tc>
        <w:tc>
          <w:tcPr>
            <w:tcW w:w="7435" w:type="dxa"/>
            <w:gridSpan w:val="2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Mel moved the minutes from the last meeting be accepted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Seconded: Joseph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Motion passed.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Style w:val="TableGrid"/>
        <w:tblW w:w="10094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731"/>
        <w:gridCol w:w="8363"/>
      </w:tblGrid>
      <w:tr>
        <w:trPr>
          <w:trHeight w:val="524" w:hRule="atLeast"/>
        </w:trPr>
        <w:tc>
          <w:tcPr>
            <w:tcW w:w="10094" w:type="dxa"/>
            <w:gridSpan w:val="2"/>
            <w:tcBorders>
              <w:bottom w:val="single" w:sz="2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jc w:val="start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8"/>
                <w:szCs w:val="28"/>
                <w:lang w:val="en-AU" w:eastAsia="en-US" w:bidi="ar-SA"/>
              </w:rPr>
              <w:t>Reports</w:t>
            </w:r>
          </w:p>
        </w:tc>
      </w:tr>
      <w:tr>
        <w:trPr>
          <w:trHeight w:val="945" w:hRule="atLeast"/>
        </w:trPr>
        <w:tc>
          <w:tcPr>
            <w:tcW w:w="17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rFonts w:eastAsia="Calibri" w:cs="Arial"/>
                <w:kern w:val="0"/>
                <w:sz w:val="22"/>
                <w:szCs w:val="24"/>
                <w:lang w:val="en-AU" w:eastAsia="en-US" w:bidi="ar-SA"/>
              </w:rPr>
              <w:t xml:space="preserve">Committee </w:t>
              <w:br/>
              <w:t>Reports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83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5" w:start="430"/>
              <w:jc w:val="start"/>
              <w:rPr>
                <w:b/>
                <w:szCs w:val="24"/>
              </w:rPr>
            </w:pPr>
            <w:r>
              <w:rPr>
                <w:rFonts w:eastAsia="Calibri" w:cs="Arial"/>
                <w:b/>
                <w:kern w:val="0"/>
                <w:sz w:val="22"/>
                <w:szCs w:val="24"/>
                <w:lang w:val="en-AU" w:eastAsia="en-US" w:bidi="ar-SA"/>
              </w:rPr>
              <w:t>Webmaster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en-AU" w:eastAsia="en-AU" w:bidi="ar-SA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AU" w:bidi="ar-SA"/>
              </w:rPr>
              <w:t>No report delivered – webmaster was absent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AU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5" w:start="430"/>
              <w:jc w:val="start"/>
              <w:rPr>
                <w:b/>
                <w:szCs w:val="24"/>
              </w:rPr>
            </w:pPr>
            <w:r>
              <w:rPr>
                <w:rFonts w:eastAsia="Calibri" w:cs="Arial"/>
                <w:b/>
                <w:kern w:val="0"/>
                <w:sz w:val="22"/>
                <w:szCs w:val="24"/>
                <w:lang w:val="en-AU" w:eastAsia="en-US" w:bidi="ar-SA"/>
              </w:rPr>
              <w:t>Recorder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360" w:start="430"/>
              <w:contextualSpacing/>
              <w:jc w:val="start"/>
              <w:rPr>
                <w:rFonts w:ascii="Calibri" w:hAnsi="Calibri" w:eastAsia="Calibri" w:cs="Arial"/>
                <w:kern w:val="0"/>
                <w:sz w:val="22"/>
                <w:lang w:val="en-AU" w:eastAsia="en-US" w:bidi="ar-SA"/>
              </w:rPr>
            </w:pP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 xml:space="preserve">Short course </w:t>
            </w: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 xml:space="preserve">competition on </w:t>
            </w: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>this weekend. Danie</w:t>
            </w: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>l</w:t>
            </w: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 xml:space="preserve">le </w:t>
            </w: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>has been</w:t>
            </w: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 xml:space="preserve"> putting in a lot of effort to get sorted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. 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360" w:start="430"/>
              <w:contextualSpacing/>
              <w:jc w:val="start"/>
              <w:rPr>
                <w:rFonts w:ascii="Calibri" w:hAnsi="Calibri" w:eastAsia="Calibri" w:cs="Arial"/>
                <w:kern w:val="0"/>
                <w:sz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Steve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S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lack has offered to laser engrave Short course medals.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360" w:start="430"/>
              <w:contextualSpacing/>
              <w:jc w:val="start"/>
              <w:rPr>
                <w:rFonts w:ascii="Calibri" w:hAnsi="Calibri" w:eastAsia="Calibri" w:cs="Arial"/>
                <w:kern w:val="0"/>
                <w:sz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National Indoor prep is still underway. Most of that now with TAC recorder and staff.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360" w:start="430"/>
              <w:contextualSpacing/>
              <w:jc w:val="start"/>
              <w:rPr>
                <w:rFonts w:ascii="Calibri" w:hAnsi="Calibri" w:eastAsia="Calibri" w:cs="Arial"/>
                <w:kern w:val="0"/>
                <w:sz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Judges for that event now also b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elieve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d to have been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sorted.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360" w:start="430"/>
              <w:contextualSpacing/>
              <w:jc w:val="start"/>
              <w:rPr>
                <w:rFonts w:ascii="Calibri" w:hAnsi="Calibri" w:eastAsia="Calibri" w:cs="Arial"/>
                <w:kern w:val="0"/>
                <w:sz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Recorder still working through r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esolving eligibility for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ACT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medals for interstate archers.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360" w:start="430"/>
              <w:contextualSpacing/>
              <w:jc w:val="start"/>
              <w:rPr>
                <w:rFonts w:ascii="Calibri" w:hAnsi="Calibri" w:eastAsia="Calibri" w:cs="Arial"/>
                <w:kern w:val="0"/>
                <w:sz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World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A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rchery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O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ceania event has wrapped up. Provided award winners to Xayah for publication.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360" w:start="430"/>
              <w:contextualSpacing/>
              <w:jc w:val="start"/>
              <w:rPr>
                <w:rFonts w:ascii="Calibri" w:hAnsi="Calibri" w:eastAsia="Calibri" w:cs="Arial"/>
                <w:kern w:val="0"/>
                <w:sz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Rachel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Morgan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won 50+ female compound. Byron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Boucher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won 50+ male compound. Craig Newberry won VI1.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5" w:start="430"/>
              <w:jc w:val="start"/>
              <w:rPr>
                <w:b/>
                <w:szCs w:val="24"/>
              </w:rPr>
            </w:pPr>
            <w:r>
              <w:rPr>
                <w:rFonts w:eastAsia="Calibri" w:cs="Arial"/>
                <w:b/>
                <w:kern w:val="0"/>
                <w:sz w:val="22"/>
                <w:szCs w:val="24"/>
                <w:lang w:val="en-AU" w:eastAsia="en-US" w:bidi="ar-SA"/>
              </w:rPr>
              <w:t xml:space="preserve">Coaches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AU" w:bidi="ar-SA"/>
              </w:rPr>
              <w:t>Nothing to report.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5" w:start="430"/>
              <w:jc w:val="start"/>
              <w:rPr>
                <w:b/>
                <w:szCs w:val="24"/>
              </w:rPr>
            </w:pPr>
            <w:r>
              <w:rPr>
                <w:rFonts w:eastAsia="Calibri" w:cs="Arial"/>
                <w:b/>
                <w:kern w:val="0"/>
                <w:sz w:val="22"/>
                <w:szCs w:val="24"/>
                <w:lang w:val="en-AU" w:eastAsia="en-US" w:bidi="ar-SA"/>
              </w:rPr>
              <w:t>Youth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bCs/>
                <w:szCs w:val="24"/>
              </w:rPr>
            </w:pPr>
            <w:r>
              <w:rPr>
                <w:rFonts w:eastAsia="Times New Roman" w:cs="Calibri"/>
                <w:bCs/>
                <w:color w:val="000000"/>
                <w:kern w:val="0"/>
                <w:sz w:val="22"/>
                <w:szCs w:val="22"/>
                <w:lang w:val="en-AU" w:eastAsia="en-US" w:bidi="ar-SA"/>
              </w:rPr>
              <w:t>Not much to report with Juniors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bCs/>
                <w:szCs w:val="24"/>
              </w:rPr>
            </w:pPr>
            <w:r>
              <w:rPr>
                <w:rFonts w:eastAsia="Times New Roman" w:cs="Calibri"/>
                <w:bCs/>
                <w:color w:val="000000"/>
                <w:kern w:val="0"/>
                <w:sz w:val="22"/>
                <w:szCs w:val="22"/>
                <w:lang w:val="en-AU" w:eastAsia="en-US" w:bidi="ar-SA"/>
              </w:rPr>
              <w:t>Tim has been away. Youth development has paused</w:t>
            </w: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>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bCs/>
                <w:szCs w:val="24"/>
              </w:rPr>
            </w:pP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>JETS has been going ahead. Only a couple of attendees at July session. Might have been impacted by school holidays.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bCs/>
                <w:szCs w:val="24"/>
              </w:rPr>
            </w:pP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 xml:space="preserve">Pete and Jessie coached at last session. Applied the coaching program. Unsure where BJ had been up to </w:t>
            </w: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>in delivering the program</w:t>
            </w: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>. Good improvements noted at that session.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bCs/>
                <w:szCs w:val="24"/>
              </w:rPr>
            </w:pP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>Will attend the next session to see how BJ is doing it. Not sure program is being strictly followed.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bCs/>
                <w:szCs w:val="24"/>
              </w:rPr>
            </w:pP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>Might need to try to advertise JETS over the next few months to try to drum up attendance.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bCs/>
                <w:szCs w:val="24"/>
              </w:rPr>
            </w:pPr>
            <w:r>
              <w:rPr>
                <w:rFonts w:eastAsia="Calibri" w:cs="Arial"/>
                <w:bCs/>
                <w:kern w:val="0"/>
                <w:sz w:val="22"/>
                <w:szCs w:val="24"/>
                <w:lang w:val="en-AU" w:eastAsia="en-US" w:bidi="ar-SA"/>
              </w:rPr>
              <w:t>Planning to do bulk flyer preparation in conjunction with general AACT flyers.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start="30"/>
              <w:jc w:val="start"/>
              <w:rPr>
                <w:b/>
                <w:szCs w:val="24"/>
              </w:rPr>
            </w:pPr>
            <w:r>
              <w:rPr>
                <w:rFonts w:eastAsia="Calibri" w:cs="Arial"/>
                <w:b/>
                <w:kern w:val="0"/>
                <w:sz w:val="22"/>
                <w:szCs w:val="24"/>
                <w:lang w:val="en-AU" w:eastAsia="en-US" w:bidi="ar-SA"/>
              </w:rPr>
              <w:t>Judges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360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en-AU" w:eastAsia="en-AU" w:bidi="ar-SA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AU" w:bidi="ar-SA"/>
              </w:rPr>
              <w:t>No report delivered – Officials Coordinator was absent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AU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5" w:start="430"/>
              <w:jc w:val="start"/>
              <w:rPr>
                <w:b/>
                <w:bCs/>
                <w:szCs w:val="24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4"/>
                <w:lang w:val="en-AU" w:eastAsia="en-US" w:bidi="ar-SA"/>
              </w:rPr>
              <w:t>Adaptive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hanging="360" w:start="455"/>
              <w:contextualSpacing/>
              <w:jc w:val="start"/>
              <w:rPr>
                <w:szCs w:val="24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No report delivered – position unfilled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5" w:start="430"/>
              <w:jc w:val="start"/>
              <w:rPr>
                <w:b/>
                <w:bCs/>
                <w:szCs w:val="24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4"/>
                <w:lang w:val="en-AU" w:eastAsia="en-US" w:bidi="ar-SA"/>
              </w:rPr>
              <w:t>Vice-President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AU" w:bidi="ar-SA"/>
              </w:rPr>
              <w:t>No report delivered – VP has resigned</w:t>
            </w:r>
            <w:r>
              <w:rPr>
                <w:rFonts w:eastAsia="Times New Roman" w:cs="Calibri"/>
                <w:kern w:val="0"/>
                <w:sz w:val="22"/>
                <w:szCs w:val="22"/>
                <w:lang w:val="en-AU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5" w:start="430"/>
              <w:jc w:val="start"/>
              <w:rPr>
                <w:b/>
                <w:szCs w:val="24"/>
              </w:rPr>
            </w:pPr>
            <w:r>
              <w:rPr>
                <w:rFonts w:eastAsia="Calibri" w:cs="Arial"/>
                <w:b/>
                <w:kern w:val="0"/>
                <w:sz w:val="22"/>
                <w:szCs w:val="24"/>
                <w:lang w:val="en-AU" w:eastAsia="en-US" w:bidi="ar-SA"/>
              </w:rPr>
              <w:t>President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en-AU" w:eastAsia="en-AU" w:bidi="ar-SA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AU" w:bidi="ar-SA"/>
              </w:rPr>
              <w:t>No report delivered – President was absent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AU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425" w:start="430"/>
              <w:jc w:val="start"/>
              <w:rPr>
                <w:b/>
                <w:szCs w:val="24"/>
              </w:rPr>
            </w:pPr>
            <w:r>
              <w:rPr>
                <w:rFonts w:eastAsia="Calibri" w:cs="Arial"/>
                <w:b/>
                <w:kern w:val="0"/>
                <w:sz w:val="22"/>
                <w:szCs w:val="24"/>
                <w:lang w:val="en-AU" w:eastAsia="en-US" w:bidi="ar-SA"/>
              </w:rPr>
              <w:t>Treasurer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 xml:space="preserve">Income and expenditure 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for the last financial year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 xml:space="preserve"> look larger due to masters Games ins and outs. 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Coachi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n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 xml:space="preserve">g reaccreditation 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 xml:space="preserve">expenses 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ha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ve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 xml:space="preserve"> increased this year.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Looking at a profit for this year. Forecasting greater expenditure for next year to reduce profit taking.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 xml:space="preserve">Potential claims for JETS coaches 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 xml:space="preserve">remain 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 xml:space="preserve">in the current FY – 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with no claims yet received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 xml:space="preserve">Posed the possibility of 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hav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ing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 xml:space="preserve"> an EoY party for JETS?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Storage costs have increased a bit.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Treasurer delivered p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roposed budget for 2026-27 FY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Treasurer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 xml:space="preserve"> to explore investment (term deposit) options 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for current surplus balance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 xml:space="preserve">Template form for accounts review of small incorporated associations 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needs completion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. Mel to organise.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Since last meeting – CAC end of 2025 dinner now paid for. Web domain payment to restore access. Storage fees increased again – twice in last 6 months. Now moving to an App access system. Allows easier sharing of log-in details.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Stats as at yesterday Business acct: $76,741.29 card $379.30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 xml:space="preserve">Derek now a signatory to accounts, 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given Mark Bartlett’s departure from VP role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Mel looking at not-for-profit tax requirements.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hanging="425" w:start="430"/>
              <w:contextualSpacing/>
              <w:jc w:val="start"/>
              <w:rPr>
                <w:rFonts w:ascii="Calibri" w:hAnsi="Calibri"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ASIC address might still be Rachel’s home address.</w:t>
            </w:r>
          </w:p>
        </w:tc>
      </w:tr>
      <w:tr>
        <w:trPr>
          <w:trHeight w:val="403" w:hRule="atLeast"/>
        </w:trPr>
        <w:tc>
          <w:tcPr>
            <w:tcW w:w="10094" w:type="dxa"/>
            <w:gridSpan w:val="2"/>
            <w:tcBorders>
              <w:bottom w:val="single" w:sz="2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b/>
                <w:sz w:val="28"/>
                <w:szCs w:val="28"/>
              </w:rPr>
            </w:pPr>
            <w:r>
              <w:rPr>
                <w:rFonts w:eastAsia="Calibri" w:cs="Arial"/>
                <w:b/>
                <w:kern w:val="0"/>
                <w:sz w:val="28"/>
                <w:szCs w:val="28"/>
                <w:lang w:val="en-AU" w:eastAsia="en-US" w:bidi="ar-SA"/>
              </w:rPr>
              <w:t>Discussion Topics</w:t>
            </w:r>
          </w:p>
        </w:tc>
      </w:tr>
      <w:tr>
        <w:trPr>
          <w:trHeight w:val="20" w:hRule="atLeast"/>
        </w:trPr>
        <w:tc>
          <w:tcPr>
            <w:tcW w:w="1731" w:type="dxa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Vacancy</w:t>
            </w:r>
          </w:p>
        </w:tc>
        <w:tc>
          <w:tcPr>
            <w:tcW w:w="8363" w:type="dxa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Need to fill VP. </w:t>
            </w:r>
            <w:r>
              <w:rPr>
                <w:rFonts w:eastAsia="Times New Roman" w:cs="Calibri"/>
                <w:color w:val="000000"/>
              </w:rPr>
              <w:t>Derek has</w:t>
            </w:r>
            <w:r>
              <w:rPr>
                <w:rFonts w:eastAsia="Times New Roman" w:cs="Calibri"/>
                <w:color w:val="000000"/>
              </w:rPr>
              <w:t xml:space="preserve"> been </w:t>
            </w:r>
            <w:r>
              <w:rPr>
                <w:rFonts w:eastAsia="Times New Roman" w:cs="Calibri"/>
                <w:color w:val="000000"/>
              </w:rPr>
              <w:t>added as</w:t>
            </w:r>
            <w:r>
              <w:rPr>
                <w:rFonts w:eastAsia="Times New Roman" w:cs="Calibri"/>
                <w:color w:val="000000"/>
              </w:rPr>
              <w:t xml:space="preserve"> bank account signatory. Proposed </w:t>
            </w:r>
            <w:r>
              <w:rPr>
                <w:rFonts w:eastAsia="Times New Roman" w:cs="Calibri"/>
                <w:color w:val="000000"/>
              </w:rPr>
              <w:t xml:space="preserve">that </w:t>
            </w:r>
            <w:r>
              <w:rPr>
                <w:rFonts w:eastAsia="Times New Roman" w:cs="Calibri"/>
                <w:color w:val="000000"/>
              </w:rPr>
              <w:t>D</w:t>
            </w:r>
            <w:r>
              <w:rPr>
                <w:rFonts w:eastAsia="Times New Roman" w:cs="Calibri"/>
                <w:color w:val="000000"/>
              </w:rPr>
              <w:t xml:space="preserve">erek </w:t>
            </w:r>
            <w:r>
              <w:rPr>
                <w:rFonts w:eastAsia="Times New Roman" w:cs="Calibri"/>
                <w:color w:val="000000"/>
              </w:rPr>
              <w:t>B</w:t>
            </w:r>
            <w:r>
              <w:rPr>
                <w:rFonts w:eastAsia="Times New Roman" w:cs="Calibri"/>
                <w:color w:val="000000"/>
              </w:rPr>
              <w:t>azen</w:t>
            </w:r>
            <w:r>
              <w:rPr>
                <w:rFonts w:eastAsia="Times New Roman" w:cs="Calibri"/>
                <w:color w:val="000000"/>
              </w:rPr>
              <w:t xml:space="preserve"> fill</w:t>
            </w:r>
            <w:r>
              <w:rPr>
                <w:rFonts w:eastAsia="Times New Roman" w:cs="Calibri"/>
                <w:color w:val="000000"/>
              </w:rPr>
              <w:t>s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>
              <w:rPr>
                <w:rFonts w:eastAsia="Times New Roman" w:cs="Calibri"/>
                <w:color w:val="000000"/>
              </w:rPr>
              <w:t xml:space="preserve">VP </w:t>
            </w:r>
            <w:r>
              <w:rPr>
                <w:rFonts w:eastAsia="Times New Roman" w:cs="Calibri"/>
                <w:color w:val="000000"/>
              </w:rPr>
              <w:t xml:space="preserve">role </w:t>
            </w:r>
            <w:r>
              <w:rPr>
                <w:rFonts w:eastAsia="Times New Roman" w:cs="Calibri"/>
                <w:color w:val="000000"/>
              </w:rPr>
              <w:t>through until the AGM in September</w:t>
            </w:r>
            <w:r>
              <w:rPr>
                <w:rFonts w:eastAsia="Times New Roman" w:cs="Calibri"/>
                <w:color w:val="000000"/>
              </w:rPr>
              <w:t xml:space="preserve">. Eduardo had nominated </w:t>
            </w:r>
            <w:r>
              <w:rPr>
                <w:rFonts w:eastAsia="Times New Roman" w:cs="Calibri"/>
                <w:color w:val="000000"/>
              </w:rPr>
              <w:t>at the continuation of the last AGM</w:t>
            </w:r>
            <w:r>
              <w:rPr>
                <w:rFonts w:eastAsia="Times New Roman" w:cs="Calibri"/>
                <w:color w:val="000000"/>
              </w:rPr>
              <w:t xml:space="preserve"> – Joseph to test his interest </w:t>
            </w:r>
            <w:r>
              <w:rPr>
                <w:rFonts w:eastAsia="Times New Roman" w:cs="Calibri"/>
                <w:color w:val="000000"/>
              </w:rPr>
              <w:t>in role</w:t>
            </w:r>
            <w:r>
              <w:rPr>
                <w:rFonts w:eastAsia="Times New Roman" w:cs="Calibri"/>
                <w:color w:val="000000"/>
              </w:rPr>
              <w:t>. D</w:t>
            </w:r>
            <w:r>
              <w:rPr>
                <w:rFonts w:eastAsia="Times New Roman" w:cs="Calibri"/>
                <w:color w:val="000000"/>
              </w:rPr>
              <w:t>erek</w:t>
            </w:r>
            <w:r>
              <w:rPr>
                <w:rFonts w:eastAsia="Times New Roman" w:cs="Calibri"/>
                <w:color w:val="000000"/>
              </w:rPr>
              <w:t xml:space="preserve"> to get access to emails in the mean time </w:t>
            </w:r>
            <w:r>
              <w:rPr>
                <w:rFonts w:eastAsia="Times New Roman" w:cs="Calibri"/>
                <w:color w:val="000000"/>
              </w:rPr>
              <w:t>through conversation with Xayah</w:t>
            </w:r>
            <w:r>
              <w:rPr>
                <w:rFonts w:eastAsia="Times New Roman" w:cs="Calibri"/>
                <w:color w:val="000000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Mel moved that DB fill the role until AGM or until an alternative occupant is found. Seconded by Joseph. Moved unanimously.</w:t>
            </w:r>
          </w:p>
        </w:tc>
      </w:tr>
      <w:tr>
        <w:trPr>
          <w:trHeight w:val="20" w:hRule="atLeast"/>
        </w:trPr>
        <w:tc>
          <w:tcPr>
            <w:tcW w:w="1731" w:type="dxa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Medal awarding at AACT events</w:t>
            </w:r>
          </w:p>
        </w:tc>
        <w:tc>
          <w:tcPr>
            <w:tcW w:w="8363" w:type="dxa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Mark used to do it. How will we fill that gap? D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erek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to do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deliver at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Short Course 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event as new VP/Secretary (given he will be competing and attending on the day)</w:t>
            </w: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Indoor to be done at End of Year event.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Bek to do AACT Target event awards.</w:t>
            </w:r>
          </w:p>
        </w:tc>
      </w:tr>
      <w:tr>
        <w:trPr>
          <w:trHeight w:val="20" w:hRule="atLeast"/>
        </w:trPr>
        <w:tc>
          <w:tcPr>
            <w:tcW w:w="1731" w:type="dxa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Team selection</w:t>
            </w:r>
          </w:p>
        </w:tc>
        <w:tc>
          <w:tcPr>
            <w:tcW w:w="8363" w:type="dxa"/>
            <w:tcBorders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Review of qualifying scores undertaken. All applicants met required standards.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All </w:t>
            </w:r>
            <w:r>
              <w:rPr>
                <w:rFonts w:eastAsia="Times New Roman" w:cs="Calibri"/>
                <w:color w:val="000000"/>
              </w:rPr>
              <w:t xml:space="preserve">applicants </w:t>
            </w:r>
            <w:r>
              <w:rPr>
                <w:rFonts w:eastAsia="Times New Roman" w:cs="Calibri"/>
                <w:color w:val="000000"/>
              </w:rPr>
              <w:t>approved for team membership – resulting in an ACT Compound team and an ACT Barebow Recurve team</w:t>
            </w:r>
            <w:r>
              <w:rPr>
                <w:rFonts w:eastAsia="Times New Roman" w:cs="Calibri"/>
                <w:color w:val="000000"/>
              </w:rPr>
              <w:t>.</w:t>
            </w:r>
          </w:p>
        </w:tc>
      </w:tr>
      <w:tr>
        <w:trPr>
          <w:trHeight w:val="20" w:hRule="atLeast"/>
        </w:trPr>
        <w:tc>
          <w:tcPr>
            <w:tcW w:w="1731" w:type="dxa"/>
            <w:tcBorders>
              <w:top w:val="nil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Uniform</w:t>
            </w:r>
          </w:p>
        </w:tc>
        <w:tc>
          <w:tcPr>
            <w:tcW w:w="8363" w:type="dxa"/>
            <w:tcBorders>
              <w:top w:val="nil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Committee considered Rachel Morgan’s request to provide access to the hoodie that had been made available to the juniors team at National Juniors competion.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Committee decided to not attempt to make the </w:t>
            </w:r>
            <w:r>
              <w:rPr>
                <w:rFonts w:eastAsia="Times New Roman" w:cs="Calibri"/>
                <w:color w:val="000000"/>
              </w:rPr>
              <w:t xml:space="preserve">hoodie </w:t>
            </w:r>
            <w:r>
              <w:rPr>
                <w:rFonts w:eastAsia="Times New Roman" w:cs="Calibri"/>
                <w:color w:val="000000"/>
              </w:rPr>
              <w:t xml:space="preserve">available in time for National Indoor, noting that the provision to the </w:t>
            </w:r>
            <w:r>
              <w:rPr>
                <w:rFonts w:eastAsia="Times New Roman" w:cs="Calibri"/>
                <w:color w:val="000000"/>
              </w:rPr>
              <w:t xml:space="preserve">youth team </w:t>
            </w:r>
            <w:r>
              <w:rPr>
                <w:rFonts w:eastAsia="Times New Roman" w:cs="Calibri"/>
                <w:color w:val="000000"/>
              </w:rPr>
              <w:t>had been a trial</w:t>
            </w:r>
            <w:r>
              <w:rPr>
                <w:rFonts w:eastAsia="Times New Roman" w:cs="Calibri"/>
                <w:color w:val="000000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AACT w</w:t>
            </w:r>
            <w:r>
              <w:rPr>
                <w:rFonts w:eastAsia="Times New Roman" w:cs="Calibri"/>
                <w:color w:val="000000"/>
              </w:rPr>
              <w:t xml:space="preserve">ill be looking at making it available on the website for later this year, </w:t>
            </w:r>
            <w:r>
              <w:rPr>
                <w:rFonts w:eastAsia="Times New Roman" w:cs="Calibri"/>
                <w:color w:val="000000"/>
              </w:rPr>
              <w:t>alongside other AACT merchandising</w:t>
            </w:r>
            <w:r>
              <w:rPr>
                <w:rFonts w:eastAsia="Times New Roman" w:cs="Calibri"/>
                <w:color w:val="000000"/>
              </w:rPr>
              <w:t xml:space="preserve">. Unfortunately cannot be organised for National Indoor. </w:t>
            </w:r>
            <w:r>
              <w:rPr>
                <w:rFonts w:eastAsia="Times New Roman" w:cs="Calibri"/>
                <w:color w:val="000000"/>
              </w:rPr>
              <w:t>Secretary to respond to Rachel, t</w:t>
            </w:r>
            <w:r>
              <w:rPr>
                <w:rFonts w:eastAsia="Times New Roman" w:cs="Calibri"/>
                <w:color w:val="000000"/>
              </w:rPr>
              <w:t>hank</w:t>
            </w:r>
            <w:r>
              <w:rPr>
                <w:rFonts w:eastAsia="Times New Roman" w:cs="Calibri"/>
                <w:color w:val="000000"/>
              </w:rPr>
              <w:t>ing her for her i</w:t>
            </w:r>
            <w:r>
              <w:rPr>
                <w:rFonts w:eastAsia="Times New Roman" w:cs="Calibri"/>
                <w:color w:val="000000"/>
              </w:rPr>
              <w:t xml:space="preserve">nterest </w:t>
            </w:r>
            <w:r>
              <w:rPr>
                <w:rFonts w:eastAsia="Times New Roman" w:cs="Calibri"/>
                <w:color w:val="000000"/>
              </w:rPr>
              <w:t>and outlining the Committee’s future merchandising plan</w:t>
            </w:r>
            <w:r>
              <w:rPr>
                <w:rFonts w:eastAsia="Times New Roman" w:cs="Calibri"/>
                <w:color w:val="000000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Secretary </w:t>
            </w:r>
            <w:r>
              <w:rPr>
                <w:rFonts w:eastAsia="Times New Roman" w:cs="Calibri"/>
                <w:color w:val="000000"/>
              </w:rPr>
              <w:t xml:space="preserve">to send </w:t>
            </w:r>
            <w:r>
              <w:rPr>
                <w:rFonts w:eastAsia="Times New Roman" w:cs="Calibri"/>
                <w:color w:val="000000"/>
              </w:rPr>
              <w:t xml:space="preserve">team membership confirmation </w:t>
            </w:r>
            <w:r>
              <w:rPr>
                <w:rFonts w:eastAsia="Times New Roman" w:cs="Calibri"/>
                <w:color w:val="000000"/>
              </w:rPr>
              <w:t xml:space="preserve">letter and media consent forms </w:t>
            </w:r>
            <w:r>
              <w:rPr>
                <w:rFonts w:eastAsia="Times New Roman" w:cs="Calibri"/>
                <w:color w:val="000000"/>
              </w:rPr>
              <w:t>(to those who have not already provided)</w:t>
            </w:r>
          </w:p>
        </w:tc>
      </w:tr>
      <w:tr>
        <w:trPr>
          <w:trHeight w:val="20" w:hRule="atLeast"/>
        </w:trPr>
        <w:tc>
          <w:tcPr>
            <w:tcW w:w="1731" w:type="dxa"/>
            <w:tcBorders>
              <w:top w:val="nil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Grants</w:t>
            </w:r>
          </w:p>
        </w:tc>
        <w:tc>
          <w:tcPr>
            <w:tcW w:w="8363" w:type="dxa"/>
            <w:tcBorders>
              <w:top w:val="nil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Grants requests were considered and agreed</w:t>
            </w:r>
            <w:r>
              <w:rPr>
                <w:rFonts w:eastAsia="Times New Roman" w:cs="Calibri"/>
                <w:color w:val="000000"/>
              </w:rPr>
              <w:t xml:space="preserve">. </w:t>
            </w:r>
            <w:r>
              <w:rPr>
                <w:rFonts w:eastAsia="Times New Roman" w:cs="Calibri"/>
                <w:color w:val="000000"/>
              </w:rPr>
              <w:t>Committee noted need to r</w:t>
            </w:r>
            <w:r>
              <w:rPr>
                <w:rFonts w:eastAsia="Times New Roman" w:cs="Calibri"/>
                <w:color w:val="000000"/>
              </w:rPr>
              <w:t xml:space="preserve">emind </w:t>
            </w:r>
            <w:r>
              <w:rPr>
                <w:rFonts w:eastAsia="Times New Roman" w:cs="Calibri"/>
                <w:color w:val="000000"/>
              </w:rPr>
              <w:t xml:space="preserve">recipeints </w:t>
            </w:r>
            <w:r>
              <w:rPr>
                <w:rFonts w:eastAsia="Times New Roman" w:cs="Calibri"/>
                <w:color w:val="000000"/>
              </w:rPr>
              <w:t xml:space="preserve">of need to share pictures and </w:t>
            </w:r>
            <w:r>
              <w:rPr>
                <w:rFonts w:eastAsia="Times New Roman" w:cs="Calibri"/>
                <w:color w:val="000000"/>
              </w:rPr>
              <w:t>t</w:t>
            </w:r>
            <w:r>
              <w:rPr>
                <w:rFonts w:eastAsia="Times New Roman" w:cs="Calibri"/>
                <w:color w:val="000000"/>
              </w:rPr>
              <w:t>ag AACT in any social media posts.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Treasurer </w:t>
            </w:r>
            <w:r>
              <w:rPr>
                <w:rFonts w:eastAsia="Times New Roman" w:cs="Calibri"/>
                <w:color w:val="000000"/>
              </w:rPr>
              <w:t xml:space="preserve">to respond </w:t>
            </w:r>
            <w:r>
              <w:rPr>
                <w:rFonts w:eastAsia="Times New Roman" w:cs="Calibri"/>
                <w:color w:val="000000"/>
              </w:rPr>
              <w:t xml:space="preserve">to applicants with this detail </w:t>
            </w:r>
            <w:r>
              <w:rPr>
                <w:rFonts w:eastAsia="Times New Roman" w:cs="Calibri"/>
                <w:color w:val="000000"/>
              </w:rPr>
              <w:t xml:space="preserve">and </w:t>
            </w:r>
            <w:r>
              <w:rPr>
                <w:rFonts w:eastAsia="Times New Roman" w:cs="Calibri"/>
                <w:color w:val="000000"/>
              </w:rPr>
              <w:t>advice of pending payment</w:t>
            </w:r>
            <w:r>
              <w:rPr>
                <w:rFonts w:eastAsia="Times New Roman" w:cs="Calibri"/>
                <w:color w:val="000000"/>
              </w:rPr>
              <w:t xml:space="preserve">. </w:t>
            </w:r>
          </w:p>
        </w:tc>
      </w:tr>
      <w:tr>
        <w:trPr>
          <w:trHeight w:val="20" w:hRule="atLeast"/>
        </w:trPr>
        <w:tc>
          <w:tcPr>
            <w:tcW w:w="1731" w:type="dxa"/>
            <w:tcBorders>
              <w:top w:val="nil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Constitution changes</w:t>
            </w:r>
          </w:p>
        </w:tc>
        <w:tc>
          <w:tcPr>
            <w:tcW w:w="8363" w:type="dxa"/>
            <w:tcBorders>
              <w:top w:val="nil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Secretary led the meeting through a range of constitutional change issues arising from previous meeting discussions. A range of views were heard and considered and a revised collection of proposed edits was captured. The next General Meeting will be asked to consider these, noting that some require the landing of the member protection / complaints policy piece which has yet to progress.</w:t>
            </w:r>
          </w:p>
        </w:tc>
      </w:tr>
      <w:tr>
        <w:trPr>
          <w:trHeight w:val="20" w:hRule="atLeast"/>
        </w:trPr>
        <w:tc>
          <w:tcPr>
            <w:tcW w:w="1731" w:type="dxa"/>
            <w:tcBorders>
              <w:top w:val="nil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CAC clock funding</w:t>
            </w:r>
          </w:p>
        </w:tc>
        <w:tc>
          <w:tcPr>
            <w:tcW w:w="8363" w:type="dxa"/>
            <w:tcBorders>
              <w:top w:val="nil"/>
              <w:bottom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The Committee discussed the CAC clock funding request.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Joseph </w:t>
            </w:r>
            <w:r>
              <w:rPr>
                <w:rFonts w:eastAsia="Times New Roman" w:cs="Calibri"/>
                <w:color w:val="000000"/>
              </w:rPr>
              <w:t>noted that a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>
              <w:rPr>
                <w:rFonts w:eastAsia="Times New Roman" w:cs="Calibri"/>
                <w:color w:val="000000"/>
              </w:rPr>
              <w:t>contribution / p</w:t>
            </w:r>
            <w:r>
              <w:rPr>
                <w:rFonts w:eastAsia="Times New Roman" w:cs="Calibri"/>
                <w:color w:val="000000"/>
              </w:rPr>
              <w:t>artial payment ma</w:t>
            </w:r>
            <w:r>
              <w:rPr>
                <w:rFonts w:eastAsia="Times New Roman" w:cs="Calibri"/>
                <w:color w:val="000000"/>
              </w:rPr>
              <w:t>d</w:t>
            </w:r>
            <w:r>
              <w:rPr>
                <w:rFonts w:eastAsia="Times New Roman" w:cs="Calibri"/>
                <w:color w:val="000000"/>
              </w:rPr>
              <w:t xml:space="preserve">e sense </w:t>
            </w:r>
            <w:r>
              <w:rPr>
                <w:rFonts w:eastAsia="Times New Roman" w:cs="Calibri"/>
                <w:color w:val="000000"/>
              </w:rPr>
              <w:t>in the context of the previous funding arrangements</w:t>
            </w:r>
            <w:r>
              <w:rPr>
                <w:rFonts w:eastAsia="Times New Roman" w:cs="Calibri"/>
                <w:color w:val="000000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Mel happy to suggest a </w:t>
            </w:r>
            <w:r>
              <w:rPr>
                <w:rFonts w:eastAsia="Times New Roman" w:cs="Calibri"/>
                <w:color w:val="000000"/>
              </w:rPr>
              <w:t>partial payment</w:t>
            </w:r>
            <w:r>
              <w:rPr>
                <w:rFonts w:eastAsia="Times New Roman" w:cs="Calibri"/>
                <w:color w:val="000000"/>
              </w:rPr>
              <w:t>. Propose</w:t>
            </w:r>
            <w:r>
              <w:rPr>
                <w:rFonts w:eastAsia="Times New Roman" w:cs="Calibri"/>
                <w:color w:val="000000"/>
              </w:rPr>
              <w:t>d</w:t>
            </w:r>
            <w:r>
              <w:rPr>
                <w:rFonts w:eastAsia="Times New Roman" w:cs="Calibri"/>
                <w:color w:val="000000"/>
              </w:rPr>
              <w:t xml:space="preserve"> offering similar amount to other clubs to help buy equipment for running events. </w:t>
            </w:r>
            <w:r>
              <w:rPr>
                <w:rFonts w:eastAsia="Times New Roman" w:cs="Calibri"/>
                <w:color w:val="000000"/>
              </w:rPr>
              <w:t>The Committee discussed what an appropriate level of funding might be.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Treasurer moved a motion to</w:t>
            </w:r>
            <w:r>
              <w:rPr>
                <w:rFonts w:eastAsia="Times New Roman" w:cs="Calibri"/>
                <w:color w:val="000000"/>
              </w:rPr>
              <w:t>: approve a club grant of $3000 to CAC in support of new timing equipment for combined use at AACT and club events.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 xml:space="preserve">Seconded by Joseph. Unanimous </w:t>
            </w:r>
            <w:r>
              <w:rPr>
                <w:rFonts w:eastAsia="Times New Roman" w:cs="Calibri"/>
                <w:color w:val="000000"/>
              </w:rPr>
              <w:t>supported</w:t>
            </w:r>
            <w:r>
              <w:rPr>
                <w:rFonts w:eastAsia="Times New Roman" w:cs="Calibri"/>
                <w:color w:val="000000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Treasurer moved a motion to</w:t>
            </w:r>
            <w:r>
              <w:rPr>
                <w:rFonts w:eastAsia="Times New Roman" w:cs="Calibri"/>
                <w:color w:val="000000"/>
              </w:rPr>
              <w:t>: offer club grants of up to the value of $3000 to WVAC and TAC for capital purchases supporting the running of AACT and club events.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Second</w:t>
            </w:r>
            <w:r>
              <w:rPr>
                <w:rFonts w:eastAsia="Times New Roman" w:cs="Calibri"/>
                <w:color w:val="000000"/>
              </w:rPr>
              <w:t>ed</w:t>
            </w:r>
            <w:r>
              <w:rPr>
                <w:rFonts w:eastAsia="Times New Roman" w:cs="Calibri"/>
                <w:color w:val="000000"/>
              </w:rPr>
              <w:t xml:space="preserve">: Bek. Unanimous </w:t>
            </w:r>
            <w:r>
              <w:rPr>
                <w:rFonts w:eastAsia="Times New Roman" w:cs="Calibri"/>
                <w:color w:val="000000"/>
              </w:rPr>
              <w:t>supported</w:t>
            </w:r>
            <w:r>
              <w:rPr>
                <w:rFonts w:eastAsia="Times New Roman" w:cs="Calibri"/>
                <w:color w:val="000000"/>
              </w:rPr>
              <w:t>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Mel to update budget to reflect.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Autospacing="1" w:after="0"/>
              <w:jc w:val="star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Secretary</w:t>
            </w:r>
            <w:r>
              <w:rPr>
                <w:rFonts w:eastAsia="Times New Roman" w:cs="Calibri"/>
                <w:color w:val="000000"/>
              </w:rPr>
              <w:t xml:space="preserve"> to email other clubs </w:t>
            </w:r>
            <w:r>
              <w:rPr>
                <w:rFonts w:eastAsia="Times New Roman" w:cs="Calibri"/>
                <w:color w:val="000000"/>
              </w:rPr>
              <w:t xml:space="preserve">about this offer </w:t>
            </w:r>
            <w:r>
              <w:rPr>
                <w:rFonts w:eastAsia="Times New Roman" w:cs="Calibri"/>
                <w:color w:val="000000"/>
              </w:rPr>
              <w:t xml:space="preserve">and CC </w:t>
            </w:r>
            <w:r>
              <w:rPr>
                <w:rFonts w:eastAsia="Times New Roman" w:cs="Calibri"/>
                <w:color w:val="000000"/>
              </w:rPr>
              <w:t>the Treasurer</w:t>
            </w:r>
            <w:r>
              <w:rPr>
                <w:rFonts w:eastAsia="Times New Roman" w:cs="Calibri"/>
                <w:color w:val="000000"/>
              </w:rPr>
              <w:t>.</w:t>
            </w:r>
          </w:p>
        </w:tc>
      </w:tr>
      <w:tr>
        <w:trPr>
          <w:trHeight w:val="407" w:hRule="atLeast"/>
        </w:trPr>
        <w:tc>
          <w:tcPr>
            <w:tcW w:w="10094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4"/>
                <w:szCs w:val="24"/>
              </w:rPr>
            </w:pPr>
            <w:r>
              <w:rPr>
                <w:rFonts w:eastAsia="Calibri" w:cs="Arial"/>
                <w:b/>
                <w:kern w:val="0"/>
                <w:sz w:val="28"/>
                <w:szCs w:val="28"/>
                <w:lang w:val="en-AU" w:eastAsia="en-US" w:bidi="ar-SA"/>
              </w:rPr>
              <w:t>Items for Noting</w:t>
            </w:r>
          </w:p>
        </w:tc>
      </w:tr>
      <w:tr>
        <w:trPr/>
        <w:tc>
          <w:tcPr>
            <w:tcW w:w="17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3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</w:r>
          </w:p>
        </w:tc>
      </w:tr>
      <w:tr>
        <w:trPr/>
        <w:tc>
          <w:tcPr>
            <w:tcW w:w="17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3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</w:r>
          </w:p>
        </w:tc>
      </w:tr>
      <w:tr>
        <w:trPr/>
        <w:tc>
          <w:tcPr>
            <w:tcW w:w="17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3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</w:r>
          </w:p>
        </w:tc>
      </w:tr>
      <w:tr>
        <w:trPr/>
        <w:tc>
          <w:tcPr>
            <w:tcW w:w="173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</w:r>
          </w:p>
        </w:tc>
        <w:tc>
          <w:tcPr>
            <w:tcW w:w="83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</w:r>
          </w:p>
        </w:tc>
      </w:tr>
    </w:tbl>
    <w:p>
      <w:pPr>
        <w:pStyle w:val="Normal"/>
        <w:rPr>
          <w:rFonts w:ascii="Calibri Light" w:hAnsi="Calibri Light" w:eastAsia="" w:cs="" w:asciiTheme="majorHAnsi" w:cstheme="majorBidi" w:eastAsiaTheme="majorEastAsia" w:hAnsiTheme="majorHAnsi"/>
          <w:color w:themeColor="accent1" w:themeShade="bf" w:val="2E74B5"/>
          <w:sz w:val="24"/>
          <w:szCs w:val="24"/>
        </w:rPr>
      </w:pPr>
      <w:r>
        <w:rPr>
          <w:rFonts w:eastAsia="" w:cs="" w:cstheme="majorBidi" w:eastAsiaTheme="majorEastAsia" w:ascii="Calibri Light" w:hAnsi="Calibri Light"/>
          <w:color w:themeColor="accent1" w:themeShade="bf" w:val="2E74B5"/>
          <w:sz w:val="24"/>
          <w:szCs w:val="24"/>
        </w:rPr>
      </w:r>
    </w:p>
    <w:tbl>
      <w:tblPr>
        <w:tblStyle w:val="TableGrid"/>
        <w:tblW w:w="10349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219"/>
        <w:gridCol w:w="8130"/>
      </w:tblGrid>
      <w:tr>
        <w:trPr>
          <w:trHeight w:val="565" w:hRule="atLeast"/>
        </w:trPr>
        <w:tc>
          <w:tcPr>
            <w:tcW w:w="221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Time meeting closed:</w:t>
            </w:r>
          </w:p>
        </w:tc>
        <w:tc>
          <w:tcPr>
            <w:tcW w:w="81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8:47pm</w:t>
            </w:r>
          </w:p>
        </w:tc>
      </w:tr>
      <w:tr>
        <w:trPr>
          <w:trHeight w:val="565" w:hRule="atLeast"/>
        </w:trPr>
        <w:tc>
          <w:tcPr>
            <w:tcW w:w="221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Date and time of next meeting:</w:t>
            </w:r>
          </w:p>
        </w:tc>
        <w:tc>
          <w:tcPr>
            <w:tcW w:w="81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 xml:space="preserve">General Meeting next month. 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40" w:right="1440" w:gutter="0" w:header="708" w:top="1440" w:footer="708" w:bottom="144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Heading1"/>
        <w:rPr/>
      </w:pPr>
      <w:bookmarkStart w:id="2" w:name="_Hlk23192519"/>
      <w:bookmarkEnd w:id="2"/>
      <w:r>
        <w:rPr/>
        <w:t>Appendix A – Business arising/continuing from Aug 2024 Meeting</w:t>
      </w:r>
    </w:p>
    <w:tbl>
      <w:tblPr>
        <w:tblStyle w:val="PlainTable11"/>
        <w:tblW w:w="1307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865"/>
        <w:gridCol w:w="3622"/>
        <w:gridCol w:w="1472"/>
        <w:gridCol w:w="611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Owner</w:t>
            </w:r>
          </w:p>
        </w:tc>
        <w:tc>
          <w:tcPr>
            <w:tcW w:w="3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Action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Status</w:t>
            </w:r>
          </w:p>
        </w:tc>
        <w:tc>
          <w:tcPr>
            <w:tcW w:w="61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Update:  May 2024</w:t>
            </w:r>
          </w:p>
        </w:tc>
      </w:tr>
      <w:tr>
        <w:trPr>
          <w:trHeight w:val="340" w:hRule="atLeast"/>
          <w:cantSplit w:val="true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8"/>
              </w:rPr>
            </w:pPr>
            <w:r>
              <w:rPr>
                <w:rFonts w:eastAsia="Calibri" w:cs="Arial"/>
                <w:b/>
                <w:bCs/>
                <w:kern w:val="0"/>
                <w:sz w:val="18"/>
                <w:szCs w:val="22"/>
                <w:lang w:val="en-AU" w:eastAsia="en-US" w:bidi="ar-SA"/>
              </w:rPr>
              <w:t>Rachel</w:t>
            </w:r>
          </w:p>
        </w:tc>
        <w:tc>
          <w:tcPr>
            <w:tcW w:w="362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Find and update the Memorandum of Understanding about annual awards dinners with the clubs</w:t>
            </w:r>
          </w:p>
        </w:tc>
        <w:tc>
          <w:tcPr>
            <w:tcW w:w="147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In Progress</w:t>
            </w:r>
          </w:p>
        </w:tc>
        <w:tc>
          <w:tcPr>
            <w:tcW w:w="61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20" w:start="72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i/>
                <w:iCs/>
                <w:kern w:val="0"/>
                <w:sz w:val="22"/>
                <w:szCs w:val="22"/>
                <w:lang w:val="en-AU" w:eastAsia="en-US" w:bidi="ar-SA"/>
              </w:rPr>
              <w:t>All policies and procedures to be updated (as per minutes)</w:t>
            </w:r>
          </w:p>
        </w:tc>
      </w:tr>
      <w:tr>
        <w:trPr>
          <w:trHeight w:val="340" w:hRule="atLeast"/>
          <w:cantSplit w:val="true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8"/>
              </w:rPr>
            </w:pPr>
            <w:r>
              <w:rPr>
                <w:rFonts w:eastAsia="Calibri" w:cs="Arial"/>
                <w:b/>
                <w:bCs/>
                <w:kern w:val="0"/>
                <w:sz w:val="18"/>
                <w:szCs w:val="22"/>
                <w:lang w:val="en-AU" w:eastAsia="en-US" w:bidi="ar-SA"/>
              </w:rPr>
              <w:t>Tim</w:t>
            </w:r>
          </w:p>
        </w:tc>
        <w:tc>
          <w:tcPr>
            <w:tcW w:w="3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Risk Management Policy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In progress</w:t>
            </w:r>
          </w:p>
        </w:tc>
        <w:tc>
          <w:tcPr>
            <w:tcW w:w="61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rFonts w:eastAsia="Calibri" w:cs="Arial"/>
                <w:i/>
                <w:iCs/>
                <w:kern w:val="0"/>
                <w:sz w:val="22"/>
                <w:szCs w:val="22"/>
                <w:lang w:val="en-AU" w:eastAsia="en-US" w:bidi="ar-SA"/>
              </w:rPr>
              <w:t>Tim to adapt policy for ACT acceptance</w:t>
            </w:r>
          </w:p>
        </w:tc>
      </w:tr>
      <w:tr>
        <w:trPr>
          <w:trHeight w:val="340" w:hRule="atLeast"/>
          <w:cantSplit w:val="true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8"/>
              </w:rPr>
            </w:pPr>
            <w:r>
              <w:rPr>
                <w:rFonts w:eastAsia="Calibri" w:cs="Arial"/>
                <w:b/>
                <w:bCs/>
                <w:kern w:val="0"/>
                <w:sz w:val="18"/>
                <w:szCs w:val="22"/>
                <w:lang w:val="en-AU" w:eastAsia="en-US" w:bidi="ar-SA"/>
              </w:rPr>
              <w:t>Tim</w:t>
            </w:r>
          </w:p>
        </w:tc>
        <w:tc>
          <w:tcPr>
            <w:tcW w:w="362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Integrity Framework</w:t>
            </w:r>
          </w:p>
        </w:tc>
        <w:tc>
          <w:tcPr>
            <w:tcW w:w="147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In progress</w:t>
            </w:r>
          </w:p>
        </w:tc>
        <w:tc>
          <w:tcPr>
            <w:tcW w:w="61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rFonts w:eastAsia="Calibri" w:cs="Arial"/>
                <w:i/>
                <w:iCs/>
                <w:kern w:val="0"/>
                <w:sz w:val="22"/>
                <w:szCs w:val="22"/>
                <w:lang w:val="en-AU" w:eastAsia="en-US" w:bidi="ar-SA"/>
              </w:rPr>
              <w:t>Tim to investigate what is required for the Integrity Framework</w:t>
            </w:r>
          </w:p>
        </w:tc>
      </w:tr>
      <w:tr>
        <w:trPr>
          <w:trHeight w:val="340" w:hRule="atLeast"/>
          <w:cantSplit w:val="true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Arial"/>
                <w:b/>
                <w:bCs/>
                <w:kern w:val="0"/>
                <w:sz w:val="18"/>
                <w:szCs w:val="22"/>
                <w:lang w:val="en-AU" w:eastAsia="en-US" w:bidi="ar-SA"/>
              </w:rPr>
              <w:t>Tim</w:t>
            </w:r>
          </w:p>
        </w:tc>
        <w:tc>
          <w:tcPr>
            <w:tcW w:w="3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Risk and conflict of interest registry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In progress</w:t>
            </w:r>
          </w:p>
        </w:tc>
        <w:tc>
          <w:tcPr>
            <w:tcW w:w="61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rFonts w:eastAsia="Calibri" w:cs="Arial"/>
                <w:i/>
                <w:iCs/>
                <w:kern w:val="0"/>
                <w:sz w:val="22"/>
                <w:szCs w:val="22"/>
                <w:lang w:val="en-AU" w:eastAsia="en-US" w:bidi="ar-SA"/>
              </w:rPr>
              <w:t>Tim to investigate what is required and set up registries in Dropbox</w:t>
            </w:r>
          </w:p>
        </w:tc>
      </w:tr>
      <w:tr>
        <w:trPr>
          <w:trHeight w:val="340" w:hRule="atLeast"/>
          <w:cantSplit w:val="true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8"/>
              </w:rPr>
            </w:pPr>
            <w:r>
              <w:rPr>
                <w:rFonts w:eastAsia="Calibri" w:cs="Arial"/>
                <w:b/>
                <w:bCs/>
                <w:kern w:val="0"/>
                <w:sz w:val="18"/>
                <w:szCs w:val="22"/>
                <w:lang w:val="en-AU" w:eastAsia="en-US" w:bidi="ar-SA"/>
              </w:rPr>
              <w:t>Rachel</w:t>
            </w:r>
          </w:p>
        </w:tc>
        <w:tc>
          <w:tcPr>
            <w:tcW w:w="362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Separate awards to a policy and remove for EOY MOU.  Clarify wording based on feedback from Adrian.</w:t>
            </w:r>
          </w:p>
        </w:tc>
        <w:tc>
          <w:tcPr>
            <w:tcW w:w="147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In progress</w:t>
            </w:r>
          </w:p>
        </w:tc>
        <w:tc>
          <w:tcPr>
            <w:tcW w:w="61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8"/>
              </w:rPr>
            </w:pPr>
            <w:r>
              <w:rPr>
                <w:rFonts w:eastAsia="Calibri" w:cs="Arial"/>
                <w:b/>
                <w:bCs/>
                <w:kern w:val="0"/>
                <w:sz w:val="18"/>
                <w:szCs w:val="22"/>
                <w:lang w:val="en-AU" w:eastAsia="en-US" w:bidi="ar-SA"/>
              </w:rPr>
              <w:t>Steven</w:t>
            </w:r>
          </w:p>
        </w:tc>
        <w:tc>
          <w:tcPr>
            <w:tcW w:w="3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Merchandise in AA Store.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On Hold</w:t>
            </w:r>
          </w:p>
        </w:tc>
        <w:tc>
          <w:tcPr>
            <w:tcW w:w="61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rFonts w:eastAsia="Calibri" w:cs="Arial"/>
                <w:i/>
                <w:iCs/>
                <w:kern w:val="0"/>
                <w:sz w:val="22"/>
                <w:szCs w:val="22"/>
                <w:lang w:val="en-AU" w:eastAsia="en-US" w:bidi="ar-SA"/>
              </w:rPr>
              <w:t>Steve indicated that Assemble is not ready to support this function.</w:t>
            </w:r>
          </w:p>
        </w:tc>
      </w:tr>
      <w:tr>
        <w:trPr>
          <w:trHeight w:val="340" w:hRule="atLeast"/>
          <w:cantSplit w:val="true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8"/>
              </w:rPr>
            </w:pPr>
            <w:r>
              <w:rPr>
                <w:rFonts w:eastAsia="Calibri" w:cs="Arial"/>
                <w:b/>
                <w:bCs/>
                <w:kern w:val="0"/>
                <w:sz w:val="18"/>
                <w:szCs w:val="22"/>
                <w:lang w:val="en-AU" w:eastAsia="en-US" w:bidi="ar-SA"/>
              </w:rPr>
              <w:t>Rachel</w:t>
            </w:r>
          </w:p>
        </w:tc>
        <w:tc>
          <w:tcPr>
            <w:tcW w:w="362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Move to a more reliable and spamless email provider.</w:t>
            </w:r>
          </w:p>
        </w:tc>
        <w:tc>
          <w:tcPr>
            <w:tcW w:w="147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Closed</w:t>
            </w:r>
          </w:p>
        </w:tc>
        <w:tc>
          <w:tcPr>
            <w:tcW w:w="61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rFonts w:eastAsia="Calibri" w:cs="Arial"/>
                <w:i/>
                <w:iCs/>
                <w:kern w:val="0"/>
                <w:sz w:val="22"/>
                <w:szCs w:val="22"/>
                <w:lang w:val="en-AU" w:eastAsia="en-US" w:bidi="ar-SA"/>
              </w:rPr>
              <w:t xml:space="preserve">Already moved to new provider. </w:t>
            </w:r>
          </w:p>
        </w:tc>
      </w:tr>
      <w:tr>
        <w:trPr>
          <w:trHeight w:val="340" w:hRule="atLeast"/>
          <w:cantSplit w:val="true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8"/>
              </w:rPr>
            </w:pPr>
            <w:r>
              <w:rPr>
                <w:rFonts w:eastAsia="Calibri" w:cs="Arial"/>
                <w:b/>
                <w:bCs/>
                <w:kern w:val="0"/>
                <w:sz w:val="18"/>
                <w:szCs w:val="22"/>
                <w:lang w:val="en-AU" w:eastAsia="en-US" w:bidi="ar-SA"/>
              </w:rPr>
              <w:t>Tim</w:t>
            </w:r>
          </w:p>
        </w:tc>
        <w:tc>
          <w:tcPr>
            <w:tcW w:w="3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Confirm with ACT Gov that they have our FY23 financial details.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In Progress</w:t>
            </w:r>
          </w:p>
        </w:tc>
        <w:tc>
          <w:tcPr>
            <w:tcW w:w="61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trHeight w:val="340" w:hRule="atLeast"/>
          <w:cantSplit w:val="true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8"/>
              </w:rPr>
            </w:pPr>
            <w:r>
              <w:rPr>
                <w:rFonts w:eastAsia="Calibri" w:cs="Arial"/>
                <w:b/>
                <w:bCs/>
                <w:kern w:val="0"/>
                <w:sz w:val="18"/>
                <w:szCs w:val="22"/>
                <w:lang w:val="en-AU" w:eastAsia="en-US" w:bidi="ar-SA"/>
              </w:rPr>
              <w:t>Paul</w:t>
            </w:r>
          </w:p>
        </w:tc>
        <w:tc>
          <w:tcPr>
            <w:tcW w:w="362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Payments for Level 1 course.</w:t>
            </w:r>
          </w:p>
        </w:tc>
        <w:tc>
          <w:tcPr>
            <w:tcW w:w="147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Closed</w:t>
            </w:r>
          </w:p>
        </w:tc>
        <w:tc>
          <w:tcPr>
            <w:tcW w:w="61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rFonts w:eastAsia="Calibri" w:cs="Arial"/>
                <w:i/>
                <w:iCs/>
                <w:kern w:val="0"/>
                <w:sz w:val="22"/>
                <w:szCs w:val="22"/>
                <w:lang w:val="en-AU" w:eastAsia="en-US" w:bidi="ar-SA"/>
              </w:rPr>
              <w:t>List provided to Rachel.</w:t>
            </w:r>
          </w:p>
        </w:tc>
      </w:tr>
      <w:tr>
        <w:trPr>
          <w:trHeight w:val="340" w:hRule="atLeast"/>
          <w:cantSplit w:val="true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8"/>
              </w:rPr>
            </w:pPr>
            <w:r>
              <w:rPr>
                <w:rFonts w:eastAsia="Calibri" w:cs="Arial"/>
                <w:b/>
                <w:bCs/>
                <w:kern w:val="0"/>
                <w:sz w:val="18"/>
                <w:szCs w:val="22"/>
                <w:lang w:val="en-AU" w:eastAsia="en-US" w:bidi="ar-SA"/>
              </w:rPr>
              <w:t>Committee</w:t>
            </w:r>
          </w:p>
        </w:tc>
        <w:tc>
          <w:tcPr>
            <w:tcW w:w="36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Arial"/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AU" w:eastAsia="en-US" w:bidi="ar-SA"/>
              </w:rPr>
              <w:t>Volunteer for ABR and ATO</w:t>
            </w:r>
          </w:p>
        </w:tc>
        <w:tc>
          <w:tcPr>
            <w:tcW w:w="14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Open</w:t>
            </w:r>
          </w:p>
        </w:tc>
        <w:tc>
          <w:tcPr>
            <w:tcW w:w="611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rFonts w:eastAsia="Calibri" w:cs="Arial"/>
                <w:i/>
                <w:iCs/>
                <w:kern w:val="0"/>
                <w:sz w:val="22"/>
                <w:szCs w:val="22"/>
                <w:lang w:val="en-AU" w:eastAsia="en-US" w:bidi="ar-SA"/>
              </w:rPr>
              <w:t>Need to sign up an authorised person for NFP ATO portal.  Next committee issue.</w:t>
            </w:r>
          </w:p>
        </w:tc>
      </w:tr>
      <w:tr>
        <w:trPr>
          <w:trHeight w:val="340" w:hRule="atLeast"/>
          <w:cantSplit w:val="true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8"/>
              </w:rPr>
            </w:pPr>
            <w:r>
              <w:rPr>
                <w:rFonts w:eastAsia="Calibri" w:cs="Arial"/>
                <w:b/>
                <w:bCs/>
                <w:kern w:val="0"/>
                <w:sz w:val="18"/>
                <w:szCs w:val="22"/>
                <w:lang w:val="en-AU" w:eastAsia="en-US" w:bidi="ar-SA"/>
              </w:rPr>
              <w:t>Tim</w:t>
            </w:r>
          </w:p>
        </w:tc>
        <w:tc>
          <w:tcPr>
            <w:tcW w:w="362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sz w:val="22"/>
                <w:szCs w:val="22"/>
                <w:lang w:val="en-AU" w:eastAsia="en-US" w:bidi="ar-SA"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>ACT return lodgement outstanding</w:t>
            </w:r>
          </w:p>
        </w:tc>
        <w:tc>
          <w:tcPr>
            <w:tcW w:w="147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en-AU" w:eastAsia="en-US" w:bidi="ar-SA"/>
              </w:rPr>
              <w:t>In Progress</w:t>
            </w:r>
          </w:p>
        </w:tc>
        <w:tc>
          <w:tcPr>
            <w:tcW w:w="6113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AU" w:eastAsia="en-US" w:bidi="ar-SA"/>
              </w:rPr>
              <w:t xml:space="preserve">In progress, have sent emails to ACT gov to investigate. Ref code # </w:t>
            </w:r>
            <w:r>
              <w:rPr>
                <w:rFonts w:eastAsia="Times New Roman" w:cs="Calibri"/>
                <w:color w:val="000000"/>
                <w:kern w:val="0"/>
                <w:sz w:val="22"/>
                <w:szCs w:val="22"/>
                <w:lang w:val="en-US" w:eastAsia="en-US" w:bidi="ar-SA"/>
              </w:rPr>
              <w:t>5525Y84B</w:t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1"/>
        <w:rPr/>
      </w:pPr>
      <w:r>
        <w:rPr/>
      </w:r>
      <w:bookmarkStart w:id="3" w:name="_Hlk23192519_Copy_1"/>
      <w:bookmarkStart w:id="4" w:name="_GoBack"/>
      <w:bookmarkStart w:id="5" w:name="_Hlk23192519_Copy_1"/>
      <w:bookmarkStart w:id="6" w:name="_GoBack"/>
      <w:bookmarkEnd w:id="5"/>
      <w:bookmarkEnd w:id="6"/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orient="landscape" w:w="16838" w:h="11906"/>
      <w:pgMar w:left="1440" w:right="1440" w:gutter="0" w:header="708" w:top="1440" w:footer="708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650464362"/>
      <w:docPartObj>
        <w:docPartGallery w:val="Page Numbers (Bottom of Page)"/>
        <w:docPartUnique w:val="true"/>
      </w:docPartObj>
    </w:sdtPr>
    <w:sdtContent>
      <w:p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4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</w:t>
        </w:r>
        <w:r>
          <w:rPr>
            <w:b/>
            <w:bCs/>
          </w:rPr>
          <w:t xml:space="preserve">| </w:t>
        </w:r>
        <w:r>
          <w:rPr>
            <w:color w:themeColor="background1" w:themeShade="7f" w:val="7F7F7F"/>
            <w:spacing w:val="60"/>
          </w:rPr>
          <w:t>Page</w:t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650464362"/>
      <w:docPartObj>
        <w:docPartGallery w:val="Page Numbers (Bottom of Page)"/>
        <w:docPartUnique w:val="true"/>
      </w:docPartObj>
    </w:sdtPr>
    <w:sdtContent>
      <w:p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4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</w:t>
        </w:r>
        <w:r>
          <w:rPr>
            <w:b/>
            <w:bCs/>
          </w:rPr>
          <w:t xml:space="preserve">| </w:t>
        </w:r>
        <w:r>
          <w:rPr>
            <w:color w:themeColor="background1" w:themeShade="7f" w:val="7F7F7F"/>
            <w:spacing w:val="60"/>
          </w:rPr>
          <w:t>Page</w:t>
        </w:r>
      </w:p>
    </w:sdtContent>
  </w:sdt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464181828"/>
      <w:docPartObj>
        <w:docPartGallery w:val="Page Numbers (Bottom of Page)"/>
        <w:docPartUnique w:val="true"/>
      </w:docPartObj>
    </w:sdtPr>
    <w:sdtContent>
      <w:p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5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</w:t>
        </w:r>
        <w:r>
          <w:rPr>
            <w:b/>
            <w:bCs/>
          </w:rPr>
          <w:t xml:space="preserve">| </w:t>
        </w:r>
        <w:r>
          <w:rPr>
            <w:color w:themeColor="background1" w:themeShade="7f" w:val="7F7F7F"/>
            <w:spacing w:val="60"/>
          </w:rPr>
          <w:t>Page</w:t>
        </w:r>
      </w:p>
    </w:sdtContent>
  </w:sdt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464181828"/>
      <w:docPartObj>
        <w:docPartGallery w:val="Page Numbers (Bottom of Page)"/>
        <w:docPartUnique w:val="true"/>
      </w:docPartObj>
    </w:sdtPr>
    <w:sdtContent>
      <w:p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5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</w:t>
        </w:r>
        <w:r>
          <w:rPr>
            <w:b/>
            <w:bCs/>
          </w:rPr>
          <w:t xml:space="preserve">| </w:t>
        </w:r>
        <w:r>
          <w:rPr>
            <w:color w:themeColor="background1" w:themeShade="7f" w:val="7F7F7F"/>
            <w:spacing w:val="60"/>
          </w:rPr>
          <w:t>Page</w:t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b/>
        <w:sz w:val="32"/>
        <w:szCs w:val="32"/>
      </w:rPr>
    </w:pPr>
    <w:r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-58420</wp:posOffset>
          </wp:positionV>
          <wp:extent cx="1071245" cy="523240"/>
          <wp:effectExtent l="0" t="0" r="0" b="0"/>
          <wp:wrapNone/>
          <wp:docPr id="1" name="Picture 5" descr="C:\Users\MONGAN\AppData\Local\Microsoft\Windows\INetCache\Content.Word\Archery ACT 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C:\Users\MONGAN\AppData\Local\Microsoft\Windows\INetCache\Content.Word\Archery ACT logo.b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2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32"/>
        <w:szCs w:val="32"/>
      </w:rPr>
      <w:t>ARCHERY ACT SOCIETY INC</w:t>
    </w:r>
  </w:p>
  <w:p>
    <w:pPr>
      <w:pStyle w:val="Header"/>
      <w:jc w:val="end"/>
      <w:rPr>
        <w:b/>
        <w:sz w:val="32"/>
        <w:szCs w:val="32"/>
      </w:rPr>
    </w:pPr>
    <w:r>
      <w:rPr>
        <w:b/>
        <w:sz w:val="32"/>
        <w:szCs w:val="32"/>
      </w:rPr>
      <w:t>20 Jul 2026 Minutes – Committee Meeting</w:t>
    </w:r>
    <w:bookmarkStart w:id="0" w:name="_Hlk500103427"/>
    <w:bookmarkEnd w:id="0"/>
  </w:p>
  <w:p>
    <w:pPr>
      <w:pStyle w:val="Header"/>
      <w:jc w:val="end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b/>
        <w:sz w:val="32"/>
        <w:szCs w:val="32"/>
      </w:rPr>
    </w:pPr>
    <w:r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-58420</wp:posOffset>
          </wp:positionV>
          <wp:extent cx="1071245" cy="523240"/>
          <wp:effectExtent l="0" t="0" r="0" b="0"/>
          <wp:wrapNone/>
          <wp:docPr id="2" name="Picture 5" descr="C:\Users\MONGAN\AppData\Local\Microsoft\Windows\INetCache\Content.Word\Archery ACT 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C:\Users\MONGAN\AppData\Local\Microsoft\Windows\INetCache\Content.Word\Archery ACT logo.b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2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32"/>
        <w:szCs w:val="32"/>
      </w:rPr>
      <w:t>ARCHERY ACT SOCIETY INC</w:t>
    </w:r>
  </w:p>
  <w:p>
    <w:pPr>
      <w:pStyle w:val="Header"/>
      <w:jc w:val="end"/>
      <w:rPr>
        <w:b/>
        <w:sz w:val="32"/>
        <w:szCs w:val="32"/>
      </w:rPr>
    </w:pPr>
    <w:r>
      <w:rPr>
        <w:b/>
        <w:sz w:val="32"/>
        <w:szCs w:val="32"/>
      </w:rPr>
      <w:t>20 Jul 2026 Minutes – Committee Meeting</w:t>
    </w:r>
    <w:bookmarkStart w:id="1" w:name="_Hlk500103427"/>
    <w:bookmarkEnd w:id="1"/>
  </w:p>
  <w:p>
    <w:pPr>
      <w:pStyle w:val="Header"/>
      <w:jc w:val="end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b/>
        <w:sz w:val="32"/>
        <w:szCs w:val="32"/>
      </w:rPr>
    </w:pPr>
    <w:r>
      <w:drawing>
        <wp:anchor distT="0" distB="0" distL="0" distR="0" simplePos="0" relativeHeight="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-58420</wp:posOffset>
          </wp:positionV>
          <wp:extent cx="1071245" cy="523240"/>
          <wp:effectExtent l="0" t="0" r="0" b="0"/>
          <wp:wrapNone/>
          <wp:docPr id="3" name="Image1" descr="C:\Users\MONGAN\AppData\Local\Microsoft\Windows\INetCache\Content.Word\Archery ACT 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 descr="C:\Users\MONGAN\AppData\Local\Microsoft\Windows\INetCache\Content.Word\Archery ACT logo.b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2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32"/>
        <w:szCs w:val="32"/>
      </w:rPr>
      <w:t>ARCHERY ACT SOCIETY INC</w:t>
    </w:r>
  </w:p>
  <w:p>
    <w:pPr>
      <w:pStyle w:val="Header"/>
      <w:jc w:val="end"/>
      <w:rPr>
        <w:b/>
        <w:sz w:val="32"/>
        <w:szCs w:val="32"/>
      </w:rPr>
    </w:pPr>
    <w:r>
      <w:rPr>
        <w:b/>
        <w:sz w:val="32"/>
        <w:szCs w:val="32"/>
      </w:rPr>
      <w:t>26 Aug 2024 Minutes – Committee Meeting</w:t>
    </w:r>
    <w:bookmarkStart w:id="7" w:name="_Hlk5001034276"/>
    <w:bookmarkEnd w:id="7"/>
  </w:p>
  <w:p>
    <w:pPr>
      <w:pStyle w:val="Header"/>
      <w:jc w:val="end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b/>
        <w:sz w:val="32"/>
        <w:szCs w:val="32"/>
      </w:rPr>
    </w:pPr>
    <w:r>
      <w:drawing>
        <wp:anchor distT="0" distB="0" distL="0" distR="0" simplePos="0" relativeHeight="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-58420</wp:posOffset>
          </wp:positionV>
          <wp:extent cx="1071245" cy="523240"/>
          <wp:effectExtent l="0" t="0" r="0" b="0"/>
          <wp:wrapNone/>
          <wp:docPr id="4" name="Image1" descr="C:\Users\MONGAN\AppData\Local\Microsoft\Windows\INetCache\Content.Word\Archery ACT 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" descr="C:\Users\MONGAN\AppData\Local\Microsoft\Windows\INetCache\Content.Word\Archery ACT logo.b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23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32"/>
        <w:szCs w:val="32"/>
      </w:rPr>
      <w:t>ARCHERY ACT SOCIETY INC</w:t>
    </w:r>
  </w:p>
  <w:p>
    <w:pPr>
      <w:pStyle w:val="Header"/>
      <w:jc w:val="end"/>
      <w:rPr>
        <w:b/>
        <w:sz w:val="32"/>
        <w:szCs w:val="32"/>
      </w:rPr>
    </w:pPr>
    <w:r>
      <w:rPr>
        <w:b/>
        <w:sz w:val="32"/>
        <w:szCs w:val="32"/>
      </w:rPr>
      <w:t>26 Aug 2024 Minutes – Committee Meeting</w:t>
    </w:r>
    <w:bookmarkStart w:id="8" w:name="_Hlk5001034276"/>
    <w:bookmarkEnd w:id="8"/>
  </w:p>
  <w:p>
    <w:pPr>
      <w:pStyle w:val="Header"/>
      <w:jc w:val="en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3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5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5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AU" w:eastAsia="zh-CN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A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777d9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A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4f6a"/>
    <w:pPr>
      <w:keepNext w:val="true"/>
      <w:keepLines/>
      <w:spacing w:lineRule="auto" w:line="254"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3f48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3f48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b04d46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35026b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35026b"/>
    <w:rPr/>
  </w:style>
  <w:style w:type="character" w:styleId="Hyperlink">
    <w:name w:val="Hyperlink"/>
    <w:basedOn w:val="DefaultParagraphFont"/>
    <w:uiPriority w:val="99"/>
    <w:unhideWhenUsed/>
    <w:rsid w:val="00ef6ef9"/>
    <w:rPr>
      <w:color w:themeColor="hyperlink" w:val="0563C1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ef6ef9"/>
    <w:rPr>
      <w:color w:val="605E5C"/>
      <w:shd w:fill="E1DFDD" w:val="clear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a04f6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ormaltextrun" w:customStyle="1">
    <w:name w:val="normaltextrun"/>
    <w:basedOn w:val="DefaultParagraphFont"/>
    <w:qFormat/>
    <w:rsid w:val="00e71c44"/>
    <w:rPr/>
  </w:style>
  <w:style w:type="character" w:styleId="eop" w:customStyle="1">
    <w:name w:val="eop"/>
    <w:basedOn w:val="DefaultParagraphFont"/>
    <w:qFormat/>
    <w:rsid w:val="00e71c44"/>
    <w:rPr/>
  </w:style>
  <w:style w:type="character" w:styleId="contextualspellingandgrammarerror" w:customStyle="1">
    <w:name w:val="contextualspellingandgrammarerror"/>
    <w:basedOn w:val="DefaultParagraphFont"/>
    <w:qFormat/>
    <w:rsid w:val="00e71c44"/>
    <w:rPr/>
  </w:style>
  <w:style w:type="character" w:styleId="spellingerror" w:customStyle="1">
    <w:name w:val="spellingerror"/>
    <w:basedOn w:val="DefaultParagraphFont"/>
    <w:qFormat/>
    <w:rsid w:val="00e71c44"/>
    <w:rPr/>
  </w:style>
  <w:style w:type="character" w:styleId="Heading2Char" w:customStyle="1">
    <w:name w:val="Heading 2 Char"/>
    <w:basedOn w:val="DefaultParagraphFont"/>
    <w:link w:val="Heading2"/>
    <w:uiPriority w:val="9"/>
    <w:qFormat/>
    <w:rsid w:val="003d3f48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3d3f48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zDPFiledOnBehalfOf" w:customStyle="1">
    <w:name w:val="zDP Filed On Behalf Of"/>
    <w:semiHidden/>
    <w:qFormat/>
    <w:rsid w:val="006627ca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c76271"/>
    <w:pPr>
      <w:spacing w:before="0" w:after="160"/>
      <w:ind w:hanging="0" w:start="72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04d4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35026b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35026b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0103a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AU"/>
    </w:rPr>
  </w:style>
  <w:style w:type="paragraph" w:styleId="paragraph" w:customStyle="1">
    <w:name w:val="paragraph"/>
    <w:basedOn w:val="Normal"/>
    <w:qFormat/>
    <w:rsid w:val="00e71c4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AU"/>
    </w:rPr>
  </w:style>
  <w:style w:type="paragraph" w:styleId="xmsonormal" w:customStyle="1">
    <w:name w:val="x_msonormal"/>
    <w:basedOn w:val="Normal"/>
    <w:qFormat/>
    <w:rsid w:val="005505a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AU"/>
    </w:rPr>
  </w:style>
  <w:style w:type="paragraph" w:styleId="xxmsonormal" w:customStyle="1">
    <w:name w:val="x_x_msonormal"/>
    <w:basedOn w:val="Normal"/>
    <w:qFormat/>
    <w:rsid w:val="00fd6ab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AU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502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PlainTable11">
    <w:name w:val="Plain Table 11"/>
    <w:basedOn w:val="TableNormal"/>
    <w:uiPriority w:val="41"/>
    <w:rsid w:val="00a04f6a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61">
    <w:name w:val="Grid Table 1 Light - Accent 61"/>
    <w:basedOn w:val="TableNormal"/>
    <w:uiPriority w:val="46"/>
    <w:rsid w:val="001a1d87"/>
    <w:pPr>
      <w:spacing w:after="0" w:line="240" w:lineRule="auto"/>
    </w:pPr>
    <w:tblPr>
      <w:tblStyleRowBandSize w:val="1"/>
      <w:tblStyleColBandSize w:val="1"/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A8D08D" w:themeColor="accent6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themeColor="accent6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D97F5-D542-CF45-8EC8-B8D971BD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Application>LibreOffice/26.2.1.2$Windows_X86_64 LibreOffice_project/620$Build-2</Application>
  <AppVersion>15.0000</AppVersion>
  <Pages>5</Pages>
  <Words>1381</Words>
  <Characters>7104</Characters>
  <CharactersWithSpaces>8325</CharactersWithSpaces>
  <Paragraphs>172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2024-09-09T11:21:00Z</dcterms:created>
  <dc:creator>Committee</dc:creator>
  <dc:description/>
  <dc:language>en-AU</dc:language>
  <cp:lastModifiedBy/>
  <cp:lastPrinted>2023-03-27T02:32:00Z</cp:lastPrinted>
  <dcterms:modified xsi:type="dcterms:W3CDTF">2026-08-23T17:27:20Z</dcterms:modified>
  <cp:revision>94</cp:revision>
  <dc:subject/>
  <dc:title>TREASURER REPORT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